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附件：采购清单</w:t>
      </w:r>
    </w:p>
    <w:p>
      <w:pPr>
        <w:rPr>
          <w:rFonts w:hint="eastAsia"/>
          <w:b/>
          <w:bCs/>
          <w:lang w:val="en-US" w:eastAsia="zh-CN"/>
        </w:rPr>
      </w:pPr>
    </w:p>
    <w:tbl>
      <w:tblPr>
        <w:tblStyle w:val="2"/>
        <w:tblW w:w="5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836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肩关节线圈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颞颌关节线圈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肘关节线圈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腕关节线圈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足踝关节线圈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磁共振高压注射器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CT高压注射器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参数要求</w:t>
      </w:r>
    </w:p>
    <w:p>
      <w:pPr>
        <w:rPr>
          <w:rFonts w:hint="default"/>
          <w:b/>
          <w:bCs/>
          <w:lang w:val="en-US" w:eastAsia="zh-CN"/>
        </w:rPr>
      </w:pPr>
    </w:p>
    <w:tbl>
      <w:tblPr>
        <w:tblStyle w:val="2"/>
        <w:tblW w:w="9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3079"/>
        <w:gridCol w:w="52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线圈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线圈基本要求，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磁共振系统兼容性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兼容所有西门子/GE/飞利浦3.0T系统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线圈插头材料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噪声系数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≤0.5dB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CE认证书，AAA证书（提供证明文件）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售后服务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免费保修范围：自验收之日起1年内的产品质量及性能缺陷，终身维修。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控制台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≥12.1寸彩色液晶触摸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KVO程序和造影追踪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具备防凝血功能注射和造影剂团注追踪功能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双流注射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可编程设置A/B筒双流注射的比例，注射速率和剂量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色彩识别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注射头和控制屏带色彩识别，便于区分造影剂和生理盐水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安装方式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产品兼容可选有线传输和无线传输配置可选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使用期限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8-10年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lOTQzZjU3MjBkNjFiMDc3ZjdmZDdjZWRkZjFlMWQifQ=="/>
  </w:docVars>
  <w:rsids>
    <w:rsidRoot w:val="5B450D25"/>
    <w:rsid w:val="4FF36626"/>
    <w:rsid w:val="5B45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2024-03-20T08:44:00Z</dcterms:created>
  <dc:creator>super</dc:creator>
  <cp:lastModifiedBy>super</cp:lastModifiedBy>
  <dcterms:modified xsi:type="dcterms:W3CDTF">2024-03-20T13:03:27Z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1094DE7B816343DCB8EB0C381F078B31_11</vt:lpwstr>
  </property>
</Properties>
</file>